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6713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黑体_GBK" w:hAnsi="方正黑体_GBK" w:eastAsia="方正黑体_GBK" w:cs="方正黑体_GBK"/>
          <w:b w:val="0"/>
          <w:bCs w:val="0"/>
          <w:color w:val="000000"/>
          <w:sz w:val="32"/>
          <w:szCs w:val="32"/>
          <w:shd w:val="clear" w:color="auto" w:fill="FFFFFF"/>
          <w:lang w:val="en-US" w:eastAsia="zh-CN"/>
        </w:rPr>
      </w:pPr>
      <w:r>
        <w:rPr>
          <w:rFonts w:hint="eastAsia" w:ascii="方正黑体_GBK" w:hAnsi="方正黑体_GBK" w:eastAsia="方正黑体_GBK" w:cs="方正黑体_GBK"/>
          <w:b w:val="0"/>
          <w:bCs w:val="0"/>
          <w:color w:val="000000"/>
          <w:sz w:val="32"/>
          <w:szCs w:val="32"/>
          <w:shd w:val="clear" w:color="auto" w:fill="FFFFFF"/>
          <w:lang w:val="en-US" w:eastAsia="zh-CN"/>
        </w:rPr>
        <w:t>附件1</w:t>
      </w:r>
    </w:p>
    <w:p w14:paraId="3C4895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color w:val="000000"/>
          <w:sz w:val="32"/>
          <w:szCs w:val="32"/>
          <w:shd w:val="clear" w:color="auto" w:fill="FFFFFF"/>
          <w:lang w:val="en-US" w:eastAsia="zh-CN"/>
        </w:rPr>
      </w:pPr>
    </w:p>
    <w:p w14:paraId="02F9DB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000000"/>
          <w:sz w:val="44"/>
          <w:szCs w:val="44"/>
          <w:shd w:val="clear" w:color="auto" w:fill="FFFFFF"/>
        </w:rPr>
      </w:pPr>
      <w:r>
        <w:rPr>
          <w:rFonts w:hint="eastAsia" w:ascii="方正小标宋_GBK" w:hAnsi="方正小标宋_GBK" w:eastAsia="方正小标宋_GBK" w:cs="方正小标宋_GBK"/>
          <w:b w:val="0"/>
          <w:bCs w:val="0"/>
          <w:color w:val="000000"/>
          <w:sz w:val="44"/>
          <w:szCs w:val="44"/>
          <w:shd w:val="clear" w:color="auto" w:fill="FFFFFF"/>
        </w:rPr>
        <w:t>江苏开放大学（江苏城市职业学院）“十</w:t>
      </w:r>
      <w:r>
        <w:rPr>
          <w:rFonts w:hint="eastAsia" w:ascii="方正小标宋_GBK" w:hAnsi="方正小标宋_GBK" w:eastAsia="方正小标宋_GBK" w:cs="方正小标宋_GBK"/>
          <w:b w:val="0"/>
          <w:bCs w:val="0"/>
          <w:color w:val="000000"/>
          <w:sz w:val="44"/>
          <w:szCs w:val="44"/>
          <w:shd w:val="clear" w:color="auto" w:fill="FFFFFF"/>
          <w:lang w:val="en-US" w:eastAsia="zh-CN"/>
        </w:rPr>
        <w:t>五五</w:t>
      </w:r>
      <w:r>
        <w:rPr>
          <w:rFonts w:hint="eastAsia" w:ascii="方正小标宋_GBK" w:hAnsi="方正小标宋_GBK" w:eastAsia="方正小标宋_GBK" w:cs="方正小标宋_GBK"/>
          <w:b w:val="0"/>
          <w:bCs w:val="0"/>
          <w:color w:val="000000"/>
          <w:sz w:val="44"/>
          <w:szCs w:val="44"/>
          <w:shd w:val="clear" w:color="auto" w:fill="FFFFFF"/>
        </w:rPr>
        <w:t>”202</w:t>
      </w:r>
      <w:r>
        <w:rPr>
          <w:rFonts w:hint="eastAsia" w:ascii="方正小标宋_GBK" w:hAnsi="方正小标宋_GBK" w:eastAsia="方正小标宋_GBK" w:cs="方正小标宋_GBK"/>
          <w:b w:val="0"/>
          <w:bCs w:val="0"/>
          <w:color w:val="000000"/>
          <w:sz w:val="44"/>
          <w:szCs w:val="44"/>
          <w:shd w:val="clear" w:color="auto" w:fill="FFFFFF"/>
          <w:lang w:val="en-US" w:eastAsia="zh-CN"/>
        </w:rPr>
        <w:t>6</w:t>
      </w:r>
      <w:r>
        <w:rPr>
          <w:rFonts w:hint="eastAsia" w:ascii="方正小标宋_GBK" w:hAnsi="方正小标宋_GBK" w:eastAsia="方正小标宋_GBK" w:cs="方正小标宋_GBK"/>
          <w:b w:val="0"/>
          <w:bCs w:val="0"/>
          <w:color w:val="000000"/>
          <w:sz w:val="44"/>
          <w:szCs w:val="44"/>
          <w:shd w:val="clear" w:color="auto" w:fill="FFFFFF"/>
        </w:rPr>
        <w:t>年度</w:t>
      </w:r>
      <w:bookmarkStart w:id="0" w:name="_GoBack"/>
      <w:bookmarkEnd w:id="0"/>
      <w:r>
        <w:rPr>
          <w:rFonts w:hint="eastAsia" w:ascii="方正小标宋_GBK" w:hAnsi="方正小标宋_GBK" w:eastAsia="方正小标宋_GBK" w:cs="方正小标宋_GBK"/>
          <w:b w:val="0"/>
          <w:bCs w:val="0"/>
          <w:color w:val="000000"/>
          <w:sz w:val="44"/>
          <w:szCs w:val="44"/>
          <w:shd w:val="clear" w:color="auto" w:fill="FFFFFF"/>
          <w:lang w:val="en-US" w:eastAsia="zh-CN"/>
        </w:rPr>
        <w:t>科研规划课题（老年发展研究专项）</w:t>
      </w:r>
      <w:r>
        <w:rPr>
          <w:rFonts w:hint="eastAsia" w:ascii="方正小标宋_GBK" w:hAnsi="方正小标宋_GBK" w:eastAsia="方正小标宋_GBK" w:cs="方正小标宋_GBK"/>
          <w:b w:val="0"/>
          <w:bCs w:val="0"/>
          <w:color w:val="000000"/>
          <w:sz w:val="44"/>
          <w:szCs w:val="44"/>
          <w:shd w:val="clear" w:color="auto" w:fill="FFFFFF"/>
        </w:rPr>
        <w:t>申报指南</w:t>
      </w:r>
    </w:p>
    <w:p w14:paraId="6850F4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000000"/>
          <w:sz w:val="32"/>
          <w:szCs w:val="32"/>
          <w:shd w:val="clear" w:color="auto" w:fill="FFFFFF"/>
        </w:rPr>
      </w:pPr>
    </w:p>
    <w:p w14:paraId="132E55A0">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方正黑体_GBK" w:hAnsi="方正黑体_GBK" w:eastAsia="方正黑体_GBK" w:cs="方正黑体_GBK"/>
          <w:b w:val="0"/>
          <w:bCs w:val="0"/>
          <w:color w:val="000000"/>
          <w:sz w:val="32"/>
          <w:szCs w:val="32"/>
          <w:shd w:val="clear" w:color="auto" w:fill="FFFFFF"/>
          <w:lang w:val="en-US" w:eastAsia="zh-CN"/>
        </w:rPr>
      </w:pPr>
      <w:r>
        <w:rPr>
          <w:rFonts w:hint="eastAsia" w:ascii="方正黑体_GBK" w:hAnsi="方正黑体_GBK" w:eastAsia="方正黑体_GBK" w:cs="方正黑体_GBK"/>
          <w:b w:val="0"/>
          <w:bCs w:val="0"/>
          <w:color w:val="000000"/>
          <w:sz w:val="32"/>
          <w:szCs w:val="32"/>
          <w:shd w:val="clear" w:color="auto" w:fill="FFFFFF"/>
          <w:lang w:val="en-US" w:eastAsia="zh-CN"/>
        </w:rPr>
        <w:t>一、宏观政策与战略规划</w:t>
      </w:r>
    </w:p>
    <w:p w14:paraId="7D774ECD">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方正仿宋_GBK" w:hAnsi="方正仿宋_GBK" w:eastAsia="方正仿宋_GBK" w:cs="方正仿宋_GBK"/>
          <w:b w:val="0"/>
          <w:bCs w:val="0"/>
          <w:color w:val="000000"/>
          <w:sz w:val="32"/>
          <w:szCs w:val="32"/>
          <w:shd w:val="clear" w:color="auto" w:fill="FFFFFF"/>
          <w:lang w:val="en-US" w:eastAsia="zh-CN"/>
        </w:rPr>
      </w:pPr>
      <w:r>
        <w:rPr>
          <w:rFonts w:hint="eastAsia" w:ascii="方正仿宋_GBK" w:hAnsi="方正仿宋_GBK" w:eastAsia="方正仿宋_GBK" w:cs="方正仿宋_GBK"/>
          <w:b w:val="0"/>
          <w:bCs w:val="0"/>
          <w:color w:val="000000"/>
          <w:sz w:val="32"/>
          <w:szCs w:val="32"/>
          <w:shd w:val="clear" w:color="auto" w:fill="FFFFFF"/>
          <w:lang w:val="en-US" w:eastAsia="zh-CN"/>
        </w:rPr>
        <w:t>本方向重点关注“十五五”时期老年教育转型发展的顶层设计与战略路径，围绕深度老龄化社会的教育应对策略、老年教育与代际关系的互动机制、农村老年教育的现实困境与创新模式、老年教育公平的理论内涵与测度方法、城乡均衡发展的制度障碍与突破路径等议题展开研究。</w:t>
      </w:r>
    </w:p>
    <w:p w14:paraId="3370177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方正黑体_GBK" w:hAnsi="方正黑体_GBK" w:eastAsia="方正黑体_GBK" w:cs="方正黑体_GBK"/>
          <w:b w:val="0"/>
          <w:bCs w:val="0"/>
          <w:color w:val="000000"/>
          <w:sz w:val="32"/>
          <w:szCs w:val="32"/>
          <w:shd w:val="clear" w:color="auto" w:fill="FFFFFF"/>
          <w:lang w:val="en-US" w:eastAsia="zh-CN"/>
        </w:rPr>
      </w:pPr>
      <w:r>
        <w:rPr>
          <w:rFonts w:hint="eastAsia" w:ascii="方正黑体_GBK" w:hAnsi="方正黑体_GBK" w:eastAsia="方正黑体_GBK" w:cs="方正黑体_GBK"/>
          <w:b w:val="0"/>
          <w:bCs w:val="0"/>
          <w:color w:val="000000"/>
          <w:sz w:val="32"/>
          <w:szCs w:val="32"/>
          <w:shd w:val="clear" w:color="auto" w:fill="FFFFFF"/>
          <w:lang w:val="en-US" w:eastAsia="zh-CN"/>
        </w:rPr>
        <w:t>二、教育生态与体系构建</w:t>
      </w:r>
    </w:p>
    <w:p w14:paraId="5CD8B82B">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方正仿宋_GBK" w:hAnsi="方正仿宋_GBK" w:eastAsia="方正仿宋_GBK" w:cs="方正仿宋_GBK"/>
          <w:b w:val="0"/>
          <w:bCs w:val="0"/>
          <w:color w:val="000000"/>
          <w:sz w:val="32"/>
          <w:szCs w:val="32"/>
          <w:shd w:val="clear" w:color="auto" w:fill="FFFFFF"/>
          <w:lang w:val="en-US" w:eastAsia="zh-CN"/>
        </w:rPr>
      </w:pPr>
      <w:r>
        <w:rPr>
          <w:rFonts w:hint="eastAsia" w:ascii="方正仿宋_GBK" w:hAnsi="方正仿宋_GBK" w:eastAsia="方正仿宋_GBK" w:cs="方正仿宋_GBK"/>
          <w:b w:val="0"/>
          <w:bCs w:val="0"/>
          <w:color w:val="000000"/>
          <w:sz w:val="32"/>
          <w:szCs w:val="32"/>
          <w:shd w:val="clear" w:color="auto" w:fill="FFFFFF"/>
          <w:lang w:val="en-US" w:eastAsia="zh-CN"/>
        </w:rPr>
        <w:t>本方向聚焦老年教育生态系统的要素解构、运行机制与整体优化，关注泛在可及的老年教育公共服务体系建设、老年生活共同体培育生态营造、融合式学习场景的设计与未来老年教育新形态、老年开放大学办学体系的协同治理与服务支持机制、老年教育场景的渗透扩散规律等议题。</w:t>
      </w:r>
    </w:p>
    <w:p w14:paraId="0E5D59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hint="eastAsia" w:ascii="方正黑体_GBK" w:hAnsi="方正黑体_GBK" w:eastAsia="方正黑体_GBK" w:cs="方正黑体_GBK"/>
          <w:b w:val="0"/>
          <w:bCs w:val="0"/>
          <w:color w:val="000000"/>
          <w:sz w:val="32"/>
          <w:szCs w:val="32"/>
          <w:shd w:val="clear" w:color="auto" w:fill="FFFFFF"/>
          <w:lang w:val="en-US" w:eastAsia="zh-CN"/>
        </w:rPr>
      </w:pPr>
      <w:r>
        <w:rPr>
          <w:rFonts w:hint="eastAsia" w:ascii="方正黑体_GBK" w:hAnsi="方正黑体_GBK" w:eastAsia="方正黑体_GBK" w:cs="方正黑体_GBK"/>
          <w:b w:val="0"/>
          <w:bCs w:val="0"/>
          <w:color w:val="000000"/>
          <w:sz w:val="32"/>
          <w:szCs w:val="32"/>
          <w:shd w:val="clear" w:color="auto" w:fill="FFFFFF"/>
          <w:lang w:val="en-US" w:eastAsia="zh-CN"/>
        </w:rPr>
        <w:t>城市更新与老年友好</w:t>
      </w:r>
    </w:p>
    <w:p w14:paraId="09A5403D">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方正仿宋_GBK" w:hAnsi="方正仿宋_GBK" w:eastAsia="方正仿宋_GBK" w:cs="方正仿宋_GBK"/>
          <w:b w:val="0"/>
          <w:bCs w:val="0"/>
          <w:color w:val="000000"/>
          <w:sz w:val="32"/>
          <w:szCs w:val="32"/>
          <w:shd w:val="clear" w:color="auto" w:fill="FFFFFF"/>
          <w:lang w:val="en-US" w:eastAsia="zh-CN"/>
        </w:rPr>
      </w:pPr>
      <w:r>
        <w:rPr>
          <w:rFonts w:hint="eastAsia" w:ascii="方正仿宋_GBK" w:hAnsi="方正仿宋_GBK" w:eastAsia="方正仿宋_GBK" w:cs="方正仿宋_GBK"/>
          <w:b w:val="0"/>
          <w:bCs w:val="0"/>
          <w:color w:val="000000"/>
          <w:sz w:val="32"/>
          <w:szCs w:val="32"/>
          <w:shd w:val="clear" w:color="auto" w:fill="FFFFFF"/>
          <w:lang w:val="en-US" w:eastAsia="zh-CN"/>
        </w:rPr>
        <w:t>本方向聚焦城市更新进程中老年友好型社会文化建设的理论内涵与实践路径，重点关注城市更新与老年友好型社会文化的互构关系、老年友好型城市（社区）的建设标准与评估体系、城市公共空间适老化改造的参与式规划与治理模式、存量更新背景下老年教育及服务设施的布局优化与服务效能提升、老旧社区养老服务体系重构与全龄友好环境营造的协同机制、城市更新中的代际融合空间设计与老年社会参与促进策略、面向深度老龄化社会的社区韧性治理与老年友好环境长效维护机制等议题。</w:t>
      </w:r>
    </w:p>
    <w:p w14:paraId="6645625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jc w:val="both"/>
        <w:textAlignment w:val="auto"/>
        <w:rPr>
          <w:rFonts w:hint="eastAsia" w:ascii="方正黑体_GBK" w:hAnsi="方正黑体_GBK" w:eastAsia="方正黑体_GBK" w:cs="方正黑体_GBK"/>
          <w:b w:val="0"/>
          <w:bCs w:val="0"/>
          <w:color w:val="000000"/>
          <w:sz w:val="32"/>
          <w:szCs w:val="32"/>
          <w:shd w:val="clear" w:color="auto" w:fill="FFFFFF"/>
          <w:lang w:val="en-US" w:eastAsia="zh-CN"/>
        </w:rPr>
      </w:pPr>
      <w:r>
        <w:rPr>
          <w:rFonts w:hint="eastAsia" w:ascii="方正黑体_GBK" w:hAnsi="方正黑体_GBK" w:eastAsia="方正黑体_GBK" w:cs="方正黑体_GBK"/>
          <w:b w:val="0"/>
          <w:bCs w:val="0"/>
          <w:color w:val="000000"/>
          <w:sz w:val="32"/>
          <w:szCs w:val="32"/>
          <w:shd w:val="clear" w:color="auto" w:fill="FFFFFF"/>
          <w:lang w:val="en-US" w:eastAsia="zh-CN"/>
        </w:rPr>
        <w:t>数字化与技术赋能</w:t>
      </w:r>
    </w:p>
    <w:p w14:paraId="0F03D8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方正黑体_GBK" w:hAnsi="方正黑体_GBK" w:eastAsia="方正黑体_GBK" w:cs="方正黑体_GBK"/>
          <w:b w:val="0"/>
          <w:bCs w:val="0"/>
          <w:color w:val="000000"/>
          <w:sz w:val="32"/>
          <w:szCs w:val="32"/>
          <w:shd w:val="clear" w:color="auto" w:fill="FFFFFF"/>
          <w:lang w:val="en-US" w:eastAsia="zh-CN"/>
        </w:rPr>
      </w:pPr>
      <w:r>
        <w:rPr>
          <w:rFonts w:hint="eastAsia" w:ascii="方正仿宋_GBK" w:hAnsi="方正仿宋_GBK" w:eastAsia="方正仿宋_GBK" w:cs="方正仿宋_GBK"/>
          <w:b w:val="0"/>
          <w:bCs w:val="0"/>
          <w:color w:val="000000"/>
          <w:sz w:val="32"/>
          <w:szCs w:val="32"/>
          <w:shd w:val="clear" w:color="auto" w:fill="FFFFFF"/>
          <w:lang w:val="en-US" w:eastAsia="zh-CN"/>
        </w:rPr>
        <w:t>本方向关注数字技术深刻重塑老年教育形态的时代命题，重点研究算法逻辑对老年在线教育形态与教学范式的变革机理、老年教育与数字创新型大学的协同共建模式、老年群体数字素养培训的多元路径与实效提升策略、智能技术驱动下线上线下融合教学模式的构建与优化等议题。</w:t>
      </w:r>
    </w:p>
    <w:p w14:paraId="6FAB6FC3">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方正黑体_GBK" w:hAnsi="方正黑体_GBK" w:eastAsia="方正黑体_GBK" w:cs="方正黑体_GBK"/>
          <w:b w:val="0"/>
          <w:bCs w:val="0"/>
          <w:color w:val="000000"/>
          <w:sz w:val="32"/>
          <w:szCs w:val="32"/>
          <w:shd w:val="clear" w:color="auto" w:fill="FFFFFF"/>
          <w:lang w:val="en-US" w:eastAsia="zh-CN"/>
        </w:rPr>
      </w:pPr>
      <w:r>
        <w:rPr>
          <w:rFonts w:hint="eastAsia" w:ascii="方正黑体_GBK" w:hAnsi="方正黑体_GBK" w:eastAsia="方正黑体_GBK" w:cs="方正黑体_GBK"/>
          <w:b w:val="0"/>
          <w:bCs w:val="0"/>
          <w:color w:val="000000"/>
          <w:sz w:val="32"/>
          <w:szCs w:val="32"/>
          <w:shd w:val="clear" w:color="auto" w:fill="FFFFFF"/>
          <w:lang w:val="en-US" w:eastAsia="zh-CN"/>
        </w:rPr>
        <w:t>四、养教结合与社区服务</w:t>
      </w:r>
    </w:p>
    <w:p w14:paraId="497F7F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color w:val="000000"/>
          <w:sz w:val="32"/>
          <w:szCs w:val="32"/>
          <w:shd w:val="clear" w:color="auto" w:fill="FFFFFF"/>
          <w:lang w:val="en-US" w:eastAsia="zh-CN"/>
        </w:rPr>
      </w:pPr>
      <w:r>
        <w:rPr>
          <w:rFonts w:hint="eastAsia" w:ascii="方正仿宋_GBK" w:hAnsi="方正仿宋_GBK" w:eastAsia="方正仿宋_GBK" w:cs="方正仿宋_GBK"/>
          <w:b w:val="0"/>
          <w:bCs w:val="0"/>
          <w:color w:val="000000"/>
          <w:sz w:val="32"/>
          <w:szCs w:val="32"/>
          <w:shd w:val="clear" w:color="auto" w:fill="FFFFFF"/>
          <w:lang w:val="en-US" w:eastAsia="zh-CN"/>
        </w:rPr>
        <w:t>本方向聚焦养老服务与教育服务的深度融合与范式创新，重点关注养教结合的服务模式转型、养教融合服务质量评估指标体系的构建与验证、老年教育与职业教育的制度衔接与课程融通、社区养老公共服务与银发消费协同发展的运营机制、适老化公共服务供给与银发经济高质量发展的互动关系等议题。</w:t>
      </w:r>
    </w:p>
    <w:p w14:paraId="0E365AAC">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方正黑体_GBK" w:hAnsi="方正黑体_GBK" w:eastAsia="方正黑体_GBK" w:cs="方正黑体_GBK"/>
          <w:b w:val="0"/>
          <w:bCs w:val="0"/>
          <w:color w:val="000000"/>
          <w:sz w:val="32"/>
          <w:szCs w:val="32"/>
          <w:shd w:val="clear" w:color="auto" w:fill="FFFFFF"/>
          <w:lang w:val="en-US" w:eastAsia="zh-CN"/>
        </w:rPr>
      </w:pPr>
      <w:r>
        <w:rPr>
          <w:rFonts w:hint="eastAsia" w:ascii="方正黑体_GBK" w:hAnsi="方正黑体_GBK" w:eastAsia="方正黑体_GBK" w:cs="方正黑体_GBK"/>
          <w:b w:val="0"/>
          <w:bCs w:val="0"/>
          <w:color w:val="000000"/>
          <w:sz w:val="32"/>
          <w:szCs w:val="32"/>
          <w:shd w:val="clear" w:color="auto" w:fill="FFFFFF"/>
          <w:lang w:val="en-US" w:eastAsia="zh-CN"/>
        </w:rPr>
        <w:t>五、人力资源开发与社会参与</w:t>
      </w:r>
    </w:p>
    <w:p w14:paraId="1C5FEF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b w:val="0"/>
          <w:bCs w:val="0"/>
          <w:color w:val="000000"/>
          <w:sz w:val="32"/>
          <w:szCs w:val="32"/>
          <w:shd w:val="clear" w:color="auto" w:fill="FFFFFF"/>
          <w:lang w:val="en-US" w:eastAsia="zh-CN"/>
        </w:rPr>
      </w:pPr>
      <w:r>
        <w:rPr>
          <w:rFonts w:hint="eastAsia" w:ascii="方正仿宋_GBK" w:hAnsi="方正仿宋_GBK" w:eastAsia="方正仿宋_GBK" w:cs="方正仿宋_GBK"/>
          <w:b w:val="0"/>
          <w:bCs w:val="0"/>
          <w:color w:val="000000"/>
          <w:sz w:val="32"/>
          <w:szCs w:val="32"/>
          <w:shd w:val="clear" w:color="auto" w:fill="FFFFFF"/>
          <w:lang w:val="en-US" w:eastAsia="zh-CN"/>
        </w:rPr>
        <w:t>本方向关注老年群体作为重要社会资源的潜能释放与社会价值再实现，重点研究低龄老年人人力资源开发的多元路径与制度支持体系、老年教育促进老年群体社会参与的机制与效能、老年教育对老年个体全面发展的促进效应与综合评价等议题。</w:t>
      </w:r>
    </w:p>
    <w:p w14:paraId="1B3814F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jc w:val="both"/>
        <w:textAlignment w:val="auto"/>
        <w:rPr>
          <w:rFonts w:hint="eastAsia" w:ascii="方正黑体_GBK" w:hAnsi="方正黑体_GBK" w:eastAsia="方正黑体_GBK" w:cs="方正黑体_GBK"/>
          <w:b w:val="0"/>
          <w:bCs w:val="0"/>
          <w:color w:val="000000"/>
          <w:sz w:val="32"/>
          <w:szCs w:val="32"/>
          <w:shd w:val="clear" w:color="auto" w:fill="FFFFFF"/>
          <w:lang w:val="en-US" w:eastAsia="zh-CN"/>
        </w:rPr>
      </w:pPr>
      <w:r>
        <w:rPr>
          <w:rFonts w:hint="eastAsia" w:ascii="方正黑体_GBK" w:hAnsi="方正黑体_GBK" w:eastAsia="方正黑体_GBK" w:cs="方正黑体_GBK"/>
          <w:b w:val="0"/>
          <w:bCs w:val="0"/>
          <w:color w:val="000000"/>
          <w:sz w:val="32"/>
          <w:szCs w:val="32"/>
          <w:shd w:val="clear" w:color="auto" w:fill="FFFFFF"/>
          <w:lang w:val="en-US" w:eastAsia="zh-CN"/>
        </w:rPr>
        <w:t>质量评估与教师发展</w:t>
      </w:r>
    </w:p>
    <w:p w14:paraId="46944F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方正黑体_GBK" w:hAnsi="方正黑体_GBK" w:eastAsia="方正黑体_GBK" w:cs="方正黑体_GBK"/>
          <w:b w:val="0"/>
          <w:bCs w:val="0"/>
          <w:color w:val="000000"/>
          <w:sz w:val="32"/>
          <w:szCs w:val="32"/>
          <w:shd w:val="clear" w:color="auto" w:fill="FFFFFF"/>
          <w:lang w:val="en-US" w:eastAsia="zh-CN"/>
        </w:rPr>
      </w:pPr>
      <w:r>
        <w:rPr>
          <w:rFonts w:hint="eastAsia" w:ascii="方正仿宋_GBK" w:hAnsi="方正仿宋_GBK" w:eastAsia="方正仿宋_GBK" w:cs="方正仿宋_GBK"/>
          <w:b w:val="0"/>
          <w:bCs w:val="0"/>
          <w:color w:val="000000"/>
          <w:sz w:val="32"/>
          <w:szCs w:val="32"/>
          <w:shd w:val="clear" w:color="auto" w:fill="FFFFFF"/>
          <w:lang w:val="en-US" w:eastAsia="zh-CN"/>
        </w:rPr>
        <w:t>本方向聚焦老年教育事业可持续发展的保障机制，重点关注老年教育质量多维评估体系的标准构建与应用实践、老年教育教师职业能力素养的维度解构与专业化发展路径、养教融合服务质量的评估指标研制与动态监测方法等议题。</w:t>
      </w:r>
    </w:p>
    <w:p w14:paraId="36180B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七、市县老年教育创新实践</w:t>
      </w:r>
    </w:p>
    <w:p w14:paraId="268F4B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b w:val="0"/>
          <w:bCs w:val="0"/>
          <w:color w:val="000000"/>
          <w:sz w:val="32"/>
          <w:szCs w:val="32"/>
          <w:shd w:val="clear" w:color="auto" w:fill="FFFFFF"/>
          <w:lang w:val="en-US" w:eastAsia="zh-CN"/>
        </w:rPr>
      </w:pPr>
      <w:r>
        <w:rPr>
          <w:rFonts w:hint="eastAsia" w:ascii="方正仿宋_GBK" w:hAnsi="方正仿宋_GBK" w:eastAsia="方正仿宋_GBK" w:cs="方正仿宋_GBK"/>
          <w:b w:val="0"/>
          <w:bCs w:val="0"/>
          <w:color w:val="000000"/>
          <w:sz w:val="32"/>
          <w:szCs w:val="32"/>
          <w:shd w:val="clear" w:color="auto" w:fill="FFFFFF"/>
          <w:lang w:val="en-US" w:eastAsia="zh-CN"/>
        </w:rPr>
        <w:t>本方向聚焦市县层面老年教育改革发展的重点难点问题，以总结凝练基层创新实践经验为主要呈现方式。重点关注市县老年大学在办学服务体系建设、项目研发、资源开发、学习平台建设与应用、师资队伍培育、教学模式与活动创新、乡村老年教育特色发展、区域协同联动等方面的创新举措与典型经验。</w:t>
      </w:r>
    </w:p>
    <w:sectPr>
      <w:pgSz w:w="11906" w:h="16838"/>
      <w:pgMar w:top="2098"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7AE8E5"/>
    <w:multiLevelType w:val="singleLevel"/>
    <w:tmpl w:val="A37AE8E5"/>
    <w:lvl w:ilvl="0" w:tentative="0">
      <w:start w:val="6"/>
      <w:numFmt w:val="chineseCounting"/>
      <w:suff w:val="nothing"/>
      <w:lvlText w:val="%1、"/>
      <w:lvlJc w:val="left"/>
      <w:rPr>
        <w:rFonts w:hint="eastAsia"/>
      </w:rPr>
    </w:lvl>
  </w:abstractNum>
  <w:abstractNum w:abstractNumId="1">
    <w:nsid w:val="C969E9CD"/>
    <w:multiLevelType w:val="singleLevel"/>
    <w:tmpl w:val="C969E9CD"/>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314342"/>
    <w:rsid w:val="00A030CE"/>
    <w:rsid w:val="015E69EA"/>
    <w:rsid w:val="016D0DE6"/>
    <w:rsid w:val="029F0C0E"/>
    <w:rsid w:val="03BA5D33"/>
    <w:rsid w:val="03D03C64"/>
    <w:rsid w:val="04161698"/>
    <w:rsid w:val="05676E45"/>
    <w:rsid w:val="07AE6EDE"/>
    <w:rsid w:val="09317E13"/>
    <w:rsid w:val="09B12F32"/>
    <w:rsid w:val="0A0B3676"/>
    <w:rsid w:val="0B472DFF"/>
    <w:rsid w:val="0BB215CA"/>
    <w:rsid w:val="0BBF43C3"/>
    <w:rsid w:val="0D447F48"/>
    <w:rsid w:val="0DC115D9"/>
    <w:rsid w:val="0DD95C10"/>
    <w:rsid w:val="0F9F3F2C"/>
    <w:rsid w:val="0FF81AAA"/>
    <w:rsid w:val="11314342"/>
    <w:rsid w:val="12325FDA"/>
    <w:rsid w:val="13FB5CB2"/>
    <w:rsid w:val="149A1617"/>
    <w:rsid w:val="14AB1DBD"/>
    <w:rsid w:val="15CF533A"/>
    <w:rsid w:val="1743234C"/>
    <w:rsid w:val="17653B64"/>
    <w:rsid w:val="194F4FD8"/>
    <w:rsid w:val="1A7C546D"/>
    <w:rsid w:val="1A8213DE"/>
    <w:rsid w:val="1AA635AD"/>
    <w:rsid w:val="1AB6015E"/>
    <w:rsid w:val="1B2B0B2B"/>
    <w:rsid w:val="1BE21D85"/>
    <w:rsid w:val="1C3A256D"/>
    <w:rsid w:val="1CB66BAD"/>
    <w:rsid w:val="1CC17198"/>
    <w:rsid w:val="1D482CED"/>
    <w:rsid w:val="1DCF15F3"/>
    <w:rsid w:val="1EA336D1"/>
    <w:rsid w:val="1F4A202F"/>
    <w:rsid w:val="1FEF79A7"/>
    <w:rsid w:val="208E6813"/>
    <w:rsid w:val="215018EE"/>
    <w:rsid w:val="216B6728"/>
    <w:rsid w:val="22A10C5C"/>
    <w:rsid w:val="243D2B9A"/>
    <w:rsid w:val="248D2E59"/>
    <w:rsid w:val="25B83F05"/>
    <w:rsid w:val="25EC7430"/>
    <w:rsid w:val="261849A4"/>
    <w:rsid w:val="26246453"/>
    <w:rsid w:val="266F3A8C"/>
    <w:rsid w:val="270C6353"/>
    <w:rsid w:val="27A02C4C"/>
    <w:rsid w:val="2889472E"/>
    <w:rsid w:val="28931670"/>
    <w:rsid w:val="29685B23"/>
    <w:rsid w:val="2ABA2F49"/>
    <w:rsid w:val="2AD8478F"/>
    <w:rsid w:val="2B264587"/>
    <w:rsid w:val="2B35654F"/>
    <w:rsid w:val="2B7B6C04"/>
    <w:rsid w:val="2C23176B"/>
    <w:rsid w:val="2C9C2F3E"/>
    <w:rsid w:val="2D46262C"/>
    <w:rsid w:val="2E4E11D9"/>
    <w:rsid w:val="2EA72D69"/>
    <w:rsid w:val="2EC24E40"/>
    <w:rsid w:val="2ECC4E5A"/>
    <w:rsid w:val="30AD6B18"/>
    <w:rsid w:val="30E16A06"/>
    <w:rsid w:val="3104478C"/>
    <w:rsid w:val="31184882"/>
    <w:rsid w:val="31666214"/>
    <w:rsid w:val="31826F49"/>
    <w:rsid w:val="32207187"/>
    <w:rsid w:val="325B46A3"/>
    <w:rsid w:val="32690A5F"/>
    <w:rsid w:val="32900573"/>
    <w:rsid w:val="33917406"/>
    <w:rsid w:val="34637732"/>
    <w:rsid w:val="34910520"/>
    <w:rsid w:val="34990F21"/>
    <w:rsid w:val="349E5E73"/>
    <w:rsid w:val="350502E8"/>
    <w:rsid w:val="353F3CFB"/>
    <w:rsid w:val="377859E0"/>
    <w:rsid w:val="388B78C0"/>
    <w:rsid w:val="389E0BFA"/>
    <w:rsid w:val="39257AC7"/>
    <w:rsid w:val="39B20485"/>
    <w:rsid w:val="3A331955"/>
    <w:rsid w:val="3A9510DC"/>
    <w:rsid w:val="3AC73F03"/>
    <w:rsid w:val="3B211EDE"/>
    <w:rsid w:val="3B7B35B3"/>
    <w:rsid w:val="3B876AD2"/>
    <w:rsid w:val="3C577B7C"/>
    <w:rsid w:val="3EC36C8A"/>
    <w:rsid w:val="40033A90"/>
    <w:rsid w:val="40693D59"/>
    <w:rsid w:val="410F174F"/>
    <w:rsid w:val="41E21069"/>
    <w:rsid w:val="42262E9A"/>
    <w:rsid w:val="42876CE2"/>
    <w:rsid w:val="437D2247"/>
    <w:rsid w:val="44E81CBA"/>
    <w:rsid w:val="471C18B6"/>
    <w:rsid w:val="47342610"/>
    <w:rsid w:val="475A4753"/>
    <w:rsid w:val="494645FB"/>
    <w:rsid w:val="4A436CB9"/>
    <w:rsid w:val="4A9F6B01"/>
    <w:rsid w:val="4DAB1FDC"/>
    <w:rsid w:val="4DB31ABC"/>
    <w:rsid w:val="4E6F5C82"/>
    <w:rsid w:val="50965DE8"/>
    <w:rsid w:val="5114613E"/>
    <w:rsid w:val="51D3350B"/>
    <w:rsid w:val="52067824"/>
    <w:rsid w:val="549E6FB4"/>
    <w:rsid w:val="54F920DE"/>
    <w:rsid w:val="55DF0EB7"/>
    <w:rsid w:val="55E968F7"/>
    <w:rsid w:val="57A14D26"/>
    <w:rsid w:val="58256929"/>
    <w:rsid w:val="5B272142"/>
    <w:rsid w:val="5D40381A"/>
    <w:rsid w:val="5DB45056"/>
    <w:rsid w:val="5F576745"/>
    <w:rsid w:val="5F8A6E63"/>
    <w:rsid w:val="5FE04017"/>
    <w:rsid w:val="605A5E3D"/>
    <w:rsid w:val="60BE22E6"/>
    <w:rsid w:val="62471F04"/>
    <w:rsid w:val="625422E5"/>
    <w:rsid w:val="62673770"/>
    <w:rsid w:val="63400ABB"/>
    <w:rsid w:val="63E21660"/>
    <w:rsid w:val="665602D1"/>
    <w:rsid w:val="669730E8"/>
    <w:rsid w:val="69772454"/>
    <w:rsid w:val="6A9436F6"/>
    <w:rsid w:val="6B2D680B"/>
    <w:rsid w:val="6B9A578F"/>
    <w:rsid w:val="6BB77E4B"/>
    <w:rsid w:val="6BC800B6"/>
    <w:rsid w:val="6D364CF8"/>
    <w:rsid w:val="6DBF49AC"/>
    <w:rsid w:val="6DD15131"/>
    <w:rsid w:val="6E8F4E7B"/>
    <w:rsid w:val="6E957D1D"/>
    <w:rsid w:val="6EB56F49"/>
    <w:rsid w:val="6ED24CBD"/>
    <w:rsid w:val="6ED41E96"/>
    <w:rsid w:val="6F3F0307"/>
    <w:rsid w:val="6F597737"/>
    <w:rsid w:val="6F765F90"/>
    <w:rsid w:val="7034721C"/>
    <w:rsid w:val="70815303"/>
    <w:rsid w:val="70914BE4"/>
    <w:rsid w:val="71915681"/>
    <w:rsid w:val="720248CB"/>
    <w:rsid w:val="72831F8A"/>
    <w:rsid w:val="75072DD4"/>
    <w:rsid w:val="756D1FE1"/>
    <w:rsid w:val="757C5983"/>
    <w:rsid w:val="76017BC1"/>
    <w:rsid w:val="761E2EDE"/>
    <w:rsid w:val="76851286"/>
    <w:rsid w:val="773147B5"/>
    <w:rsid w:val="77B07B65"/>
    <w:rsid w:val="79772E3A"/>
    <w:rsid w:val="79F0693F"/>
    <w:rsid w:val="7B907600"/>
    <w:rsid w:val="7BB9304B"/>
    <w:rsid w:val="7CF16C56"/>
    <w:rsid w:val="7D187E3F"/>
    <w:rsid w:val="7D70671E"/>
    <w:rsid w:val="7D7A0C6B"/>
    <w:rsid w:val="7EE42885"/>
    <w:rsid w:val="7FA90117"/>
    <w:rsid w:val="7FC949BE"/>
    <w:rsid w:val="7FCB1CA0"/>
    <w:rsid w:val="7FEB6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1196</Words>
  <Characters>1199</Characters>
  <Lines>0</Lines>
  <Paragraphs>0</Paragraphs>
  <TotalTime>3288</TotalTime>
  <ScaleCrop>false</ScaleCrop>
  <LinksUpToDate>false</LinksUpToDate>
  <CharactersWithSpaces>1199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2026-07-13T03:11:00Z</dcterms:created>
  <dc:creator>费红辉</dc:creator>
  <cp:lastModifiedBy>费红辉</cp:lastModifiedBy>
  <dcterms:modified xsi:type="dcterms:W3CDTF">2026-08-01T01:05:39Z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3C2B52703539438F823C719E6119723E_13</vt:lpwstr>
  </property>
  <property fmtid="{D5CDD505-2E9C-101B-9397-08002B2CF9AE}" pid="4" name="KSOTemplateDocerSaveRecord">
    <vt:lpwstr>eyJoZGlkIjoiMmZmOWY4Y2EzM2IzODdlYTYyNzhiMGU3NGEyM2EzMDEiLCJ1c2VySWQiOiI0Mzc4MTU4ODEifQ==</vt:lpwstr>
  </property>
</Properties>
</file>